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3.png" ContentType="image/png"/>
  <Override PartName="/word/media/rId92.png" ContentType="image/png"/>
  <Override PartName="/word/media/rId5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9.png" ContentType="image/png"/>
  <Override PartName="/word/media/rId58.png" ContentType="image/png"/>
  <Override PartName="/word/media/rId31.png" ContentType="image/png"/>
  <Override PartName="/word/media/rId63.png" ContentType="image/png"/>
  <Override PartName="/word/media/rId29.png" ContentType="image/png"/>
  <Override PartName="/word/media/rId52.png" ContentType="image/png"/>
  <Override PartName="/word/media/rId54.png" ContentType="image/png"/>
  <Override PartName="/word/media/rId33.png" ContentType="image/png"/>
  <Override PartName="/word/media/rId38.png" ContentType="image/png"/>
  <Override PartName="/word/media/rId61.png" ContentType="image/png"/>
  <Override PartName="/word/media/rId62.png" ContentType="image/png"/>
  <Override PartName="/word/media/rId36.png" ContentType="image/png"/>
  <Override PartName="/word/media/rId49.png" ContentType="image/png"/>
  <Override PartName="/word/media/rId47.png" ContentType="image/png"/>
  <Override PartName="/word/media/rId56.png" ContentType="image/png"/>
  <Override PartName="/word/media/rId43.png" ContentType="image/png"/>
  <Override PartName="/word/media/rId24.png" ContentType="image/png"/>
  <Override PartName="/word/media/rId75.png" ContentType="image/png"/>
  <Override PartName="/word/media/rId77.png" ContentType="image/png"/>
  <Override PartName="/word/media/rId79.png" ContentType="image/png"/>
  <Override PartName="/word/media/rId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5486400" cy="2547708"/>
            <wp:effectExtent b="0" l="0" r="0" t="0"/>
            <wp:docPr descr=""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5486400" cy="2547708"/>
                    </a:xfrm>
                    <a:prstGeom prst="rect">
                      <a:avLst/>
                    </a:prstGeom>
                    <a:noFill/>
                    <a:ln w="9525">
                      <a:noFill/>
                      <a:headEnd/>
                      <a:tailEnd/>
                    </a:ln>
                  </pic:spPr>
                </pic:pic>
              </a:graphicData>
            </a:graphic>
          </wp:inline>
        </w:drawing>
      </w:r>
    </w:p>
    <w:p>
      <w:pPr>
        <w:pStyle w:val="ImageCaption"/>
      </w:pPr>
      <w:r>
        <w:t xml:space="preserve">Figure 6: Vue 3D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8A).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8B).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kinétochores aux microtubules.</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est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qu'on retrouve aussi dans des chromosomes alignés</w:t>
      </w:r>
      <w:r>
        <w:t xml:space="preserve"> </w:t>
      </w:r>
      <w:r>
        <w:t xml:space="preserve">(Jaqaman et al.,</w:t>
      </w:r>
      <w:r>
        <w:t xml:space="preserve"> </w:t>
      </w:r>
      <w:hyperlink w:anchor="ref-Jaqaman2010">
        <w:r>
          <w:rPr>
            <w:rStyle w:val="Hyperlink"/>
          </w:rPr>
          <w:t xml:space="preserve">2010</w:t>
        </w:r>
      </w:hyperlink>
      <w:r>
        <w:t xml:space="preserve">)</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l'augmentation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BodyText"/>
      </w:pPr>
      <w:r>
        <w:t xml:space="preserve">TODO: go deeper sur le mouvement des chromosomes</w:t>
      </w:r>
    </w:p>
    <w:p>
      <w:pPr>
        <w:pStyle w:val="Heading3"/>
      </w:pPr>
      <w:bookmarkStart w:id="46" w:name="le-fuseau-mitotique-un-objet-sous-contrainte"/>
      <w:bookmarkEnd w:id="46"/>
      <w:r>
        <w:t xml:space="preserve">Le fuseau mitotique : un objet sous contrainte</w:t>
      </w:r>
    </w:p>
    <w:p>
      <w:pPr>
        <w:pStyle w:val="FirstParagraph"/>
      </w:pPr>
      <w:r>
        <w:t xml:space="preserve">La métaphase est un moment très particulier de la mitose car c'est le moment ou le fuseau atteint un état stationnaire. A ce stade, l’appareil mitotique subit une contrainte maximum car tous les chromosomes sont attachés et produisent une force (Figure 13).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 id="1" name="Picture"/>
            <a:graphic>
              <a:graphicData uri="http://schemas.openxmlformats.org/drawingml/2006/picture">
                <pic:pic>
                  <pic:nvPicPr>
                    <pic:cNvPr descr="figures/intro/spindle.png" id="0" name="Picture"/>
                    <pic:cNvPicPr>
                      <a:picLocks noChangeArrowheads="1" noChangeAspect="1"/>
                    </pic:cNvPicPr>
                  </pic:nvPicPr>
                  <pic:blipFill>
                    <a:blip r:embed="rId47"/>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13: Schéma d'un fuseau mitotique en métaphase (mitose fermé).</w:t>
      </w:r>
    </w:p>
    <w:p>
      <w:pPr>
        <w:pStyle w:val="Heading3"/>
      </w:pPr>
      <w:bookmarkStart w:id="48" w:name="le-point-de-contrôle-de-la-transition-métaphaseanaphase"/>
      <w:bookmarkEnd w:id="48"/>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 (TODO: go deeper).</w:t>
      </w:r>
    </w:p>
    <w:p>
      <w:pPr>
        <w:pStyle w:val="BodyText"/>
      </w:pPr>
      <w:r>
        <w:t xml:space="preserve">Lorsque tous les kinétochores sont attachés de manière stable, alors le SAC se désactive et une cascade métabolique dégrade le complexe cohésine (Figure 14).</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14).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14).</w:t>
      </w:r>
    </w:p>
    <w:p>
      <w:pPr>
        <w:pStyle w:val="FigureWithCaption"/>
      </w:pPr>
      <w:r>
        <w:drawing>
          <wp:inline>
            <wp:extent cx="5168900" cy="2755900"/>
            <wp:effectExtent b="0" l="0" r="0" t="0"/>
            <wp:docPr descr="" id="1" name="Picture"/>
            <a:graphic>
              <a:graphicData uri="http://schemas.openxmlformats.org/drawingml/2006/picture">
                <pic:pic>
                  <pic:nvPicPr>
                    <pic:cNvPr descr="figures/intro/sac.png" id="0" name="Picture"/>
                    <pic:cNvPicPr>
                      <a:picLocks noChangeArrowheads="1" noChangeAspect="1"/>
                    </pic:cNvPicPr>
                  </pic:nvPicPr>
                  <pic:blipFill>
                    <a:blip r:embed="rId49"/>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14: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0" w:name="modélisation-mathématique-de-la-mitose"/>
      <w:bookmarkEnd w:id="50"/>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1" w:name="que-signifie-modéliser-un-processus-biologique"/>
      <w:bookmarkEnd w:id="51"/>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15).</w:t>
      </w:r>
    </w:p>
    <w:p>
      <w:pPr>
        <w:pStyle w:val="FigureWithCaption"/>
      </w:pPr>
      <w:r>
        <w:drawing>
          <wp:inline>
            <wp:extent cx="5486400" cy="3238076"/>
            <wp:effectExtent b="0" l="0" r="0" t="0"/>
            <wp:docPr descr="" id="1" name="Picture"/>
            <a:graphic>
              <a:graphicData uri="http://schemas.openxmlformats.org/drawingml/2006/picture">
                <pic:pic>
                  <pic:nvPicPr>
                    <pic:cNvPr descr="figures/intro/modelling.png" id="0" name="Picture"/>
                    <pic:cNvPicPr>
                      <a:picLocks noChangeArrowheads="1" noChangeAspect="1"/>
                    </pic:cNvPicPr>
                  </pic:nvPicPr>
                  <pic:blipFill>
                    <a:blip r:embed="rId52"/>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15: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3" w:name="lassemblage-du-fuseau-mitotique"/>
      <w:bookmarkEnd w:id="53"/>
      <w:r>
        <w:t xml:space="preserve">L'assemblage du fuseau mitotique</w:t>
      </w:r>
    </w:p>
    <w:p>
      <w:pPr>
        <w:pStyle w:val="FirstParagraph"/>
      </w:pPr>
      <w:r>
        <w:t xml:space="preserve">Durant l'assemblage du fuseau mitotique, le fuseau qui est en train de se former,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16).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 id="1" name="Picture"/>
            <a:graphic>
              <a:graphicData uri="http://schemas.openxmlformats.org/drawingml/2006/picture">
                <pic:pic>
                  <pic:nvPicPr>
                    <pic:cNvPr descr="figures/intro/mogilner.png" id="0" name="Picture"/>
                    <pic:cNvPicPr>
                      <a:picLocks noChangeArrowheads="1" noChangeAspect="1"/>
                    </pic:cNvPicPr>
                  </pic:nvPicPr>
                  <pic:blipFill>
                    <a:blip r:embed="rId5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16: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17).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 id="1" name="Picture"/>
            <a:graphic>
              <a:graphicData uri="http://schemas.openxmlformats.org/drawingml/2006/picture">
                <pic:pic>
                  <pic:nvPicPr>
                    <pic:cNvPr descr="figures/intro/assembly_time.png" id="0" name="Picture"/>
                    <pic:cNvPicPr>
                      <a:picLocks noChangeArrowheads="1" noChangeAspect="1"/>
                    </pic:cNvPicPr>
                  </pic:nvPicPr>
                  <pic:blipFill>
                    <a:blip r:embed="rId5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17: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18A).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18B.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18: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7" w:name="la-dynamique-des-chromosomes"/>
      <w:bookmarkEnd w:id="57"/>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19A).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 id="1" name="Picture"/>
            <a:graphic>
              <a:graphicData uri="http://schemas.openxmlformats.org/drawingml/2006/picture">
                <pic:pic>
                  <pic:nvPicPr>
                    <pic:cNvPr descr="figures/intro/hill_model.png" id="0" name="Picture"/>
                    <pic:cNvPicPr>
                      <a:picLocks noChangeArrowheads="1" noChangeAspect="1"/>
                    </pic:cNvPicPr>
                  </pic:nvPicPr>
                  <pic:blipFill>
                    <a:blip r:embed="rId5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19: Différents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19B).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 id="1" name="Picture"/>
            <a:graphic>
              <a:graphicData uri="http://schemas.openxmlformats.org/drawingml/2006/picture">
                <pic:pic>
                  <pic:nvPicPr>
                    <pic:cNvPr descr="figures/intro/gay.png" id="0" name="Picture"/>
                    <pic:cNvPicPr>
                      <a:picLocks noChangeArrowheads="1" noChangeAspect="1"/>
                    </pic:cNvPicPr>
                  </pic:nvPicPr>
                  <pic:blipFill>
                    <a:blip r:embed="rId5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20: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20).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19C).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19C).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tous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des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0" w:name="la-levure-à-fission-un-organisme-modèle-pour-létude-du-cycle-cellulaire"/>
      <w:bookmarkEnd w:id="6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21)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 id="1" name="Picture"/>
            <a:graphic>
              <a:graphicData uri="http://schemas.openxmlformats.org/drawingml/2006/picture">
                <pic:pic>
                  <pic:nvPicPr>
                    <pic:cNvPr descr="figures/intro/pombe.png" id="0" name="Picture"/>
                    <pic:cNvPicPr>
                      <a:picLocks noChangeArrowheads="1" noChangeAspect="1"/>
                    </pic:cNvPicPr>
                  </pic:nvPicPr>
                  <pic:blipFill>
                    <a:blip r:embed="rId6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21:</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22). En phase exponentielle de croissance, 80% des cellules sont en G2 et 15-20% en mitose.</w:t>
      </w:r>
    </w:p>
    <w:p>
      <w:pPr>
        <w:pStyle w:val="FigureWithCaption"/>
      </w:pPr>
      <w:r>
        <w:drawing>
          <wp:inline>
            <wp:extent cx="3886200" cy="3187700"/>
            <wp:effectExtent b="0" l="0" r="0" t="0"/>
            <wp:docPr descr=""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22: Schéma du cycle cellulaire de</w:t>
      </w:r>
      <w:r>
        <w:t xml:space="preserve"> </w:t>
      </w:r>
      <w:r>
        <w:rPr>
          <w:i/>
        </w:rPr>
        <w:t xml:space="preserve">S. pombe</w:t>
      </w:r>
      <w:r>
        <w:t xml:space="preserv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23A).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23B).</w:t>
      </w:r>
    </w:p>
    <w:p>
      <w:pPr>
        <w:pStyle w:val="FigureWithCaption"/>
      </w:pPr>
      <w:r>
        <w:drawing>
          <wp:inline>
            <wp:extent cx="5334000" cy="1993900"/>
            <wp:effectExtent b="0" l="0" r="0" t="0"/>
            <wp:docPr descr="" id="1" name="Picture"/>
            <a:graphic>
              <a:graphicData uri="http://schemas.openxmlformats.org/drawingml/2006/picture">
                <pic:pic>
                  <pic:nvPicPr>
                    <pic:cNvPr descr="figures/intro/lac.png" id="0" name="Picture"/>
                    <pic:cNvPicPr>
                      <a:picLocks noChangeArrowheads="1" noChangeAspect="1"/>
                    </pic:cNvPicPr>
                  </pic:nvPicPr>
                  <pic:blipFill>
                    <a:blip r:embed="rId6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23:</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4" w:name="problématique"/>
      <w:bookmarkEnd w:id="6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65" w:name="résultats"/>
      <w:bookmarkEnd w:id="65"/>
      <w:r>
        <w:t xml:space="preserve">Résultats</w:t>
      </w:r>
    </w:p>
    <w:p>
      <w:pPr>
        <w:pStyle w:val="Heading2"/>
      </w:pPr>
      <w:bookmarkStart w:id="66" w:name="fission-yeast-kinesin-8-controls-chromosome-congression-independently-of-oscillations"/>
      <w:bookmarkEnd w:id="6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7" w:name="reconstruction-et-analyse-de-la-trajectoire-des-chromosomes-en-métaphase"/>
      <w:bookmarkEnd w:id="67"/>
      <w:r>
        <w:t xml:space="preserve">Reconstruction et analyse de la trajectoire des chromosomes en métaphase</w:t>
      </w:r>
    </w:p>
    <w:p>
      <w:pPr>
        <w:pStyle w:val="Heading3"/>
      </w:pPr>
      <w:bookmarkStart w:id="68" w:name="la-reconstruction-des-trois-chromosomes-de-la-levure-à-fission-un-challenge"/>
      <w:bookmarkEnd w:id="68"/>
      <w:r>
        <w:t xml:space="preserve">La reconstruction des trois chromosomes de la levure à fission : un challenge ?</w:t>
      </w:r>
    </w:p>
    <w:p>
      <w:pPr>
        <w:pStyle w:val="Compact"/>
        <w:numPr>
          <w:numId w:val="1009"/>
          <w:ilvl w:val="0"/>
        </w:numPr>
      </w:pPr>
      <w:r>
        <w:t xml:space="preserve">parler de la détection par deflation (implementation trop lente?, pk ca marche pas pr nous?)</w:t>
      </w:r>
    </w:p>
    <w:p>
      <w:pPr>
        <w:pStyle w:val="Compact"/>
        <w:numPr>
          <w:numId w:val="1009"/>
          <w:ilvl w:val="0"/>
        </w:numPr>
      </w:pPr>
      <w:r>
        <w:t xml:space="preserve">parler de l'algo de jaquaman et de scikit tracker : pk ca marche pas ici aussi? du a détection trop mauvaise et pas à l'algo de tracking</w:t>
      </w:r>
    </w:p>
    <w:p>
      <w:pPr>
        <w:pStyle w:val="Heading3"/>
      </w:pPr>
      <w:bookmarkStart w:id="69" w:name="traitement-des-trajectoires-par-des-techniques-danalyse-du-signal"/>
      <w:bookmarkEnd w:id="69"/>
      <w:r>
        <w:t xml:space="preserve">Traitement des trajectoires par des techniques d'analyse du signal</w:t>
      </w:r>
    </w:p>
    <w:p>
      <w:pPr>
        <w:pStyle w:val="Compact"/>
        <w:numPr>
          <w:numId w:val="1010"/>
          <w:ilvl w:val="0"/>
        </w:numPr>
      </w:pPr>
      <w:r>
        <w:t xml:space="preserve">parler des techniques utilisées dans le papier et des problemes qu on a eu</w:t>
      </w:r>
    </w:p>
    <w:p>
      <w:pPr>
        <w:pStyle w:val="Compact"/>
        <w:numPr>
          <w:numId w:val="1010"/>
          <w:ilvl w:val="0"/>
        </w:numPr>
      </w:pPr>
      <w:r>
        <w:t xml:space="preserve">dam1</w:t>
      </w:r>
    </w:p>
    <w:p>
      <w:pPr>
        <w:pStyle w:val="Heading3"/>
      </w:pPr>
      <w:bookmarkStart w:id="70" w:name="cohérence-kinetochore-ap-p"/>
      <w:bookmarkEnd w:id="70"/>
      <w:r>
        <w:t xml:space="preserve">Cohérence kinetochore AP-P</w:t>
      </w:r>
    </w:p>
    <w:p>
      <w:pPr>
        <w:pStyle w:val="Compact"/>
        <w:numPr>
          <w:numId w:val="1011"/>
          <w:ilvl w:val="0"/>
        </w:numPr>
      </w:pPr>
      <w:r>
        <w:t xml:space="preserve">broder un truc (probablement avec du data-driven bla bla bla)</w:t>
      </w:r>
    </w:p>
    <w:p>
      <w:pPr>
        <w:pStyle w:val="Heading3"/>
      </w:pPr>
      <w:bookmarkStart w:id="71" w:name="msd"/>
      <w:bookmarkEnd w:id="71"/>
      <w:r>
        <w:t xml:space="preserve">MSD</w:t>
      </w:r>
    </w:p>
    <w:p>
      <w:pPr>
        <w:pStyle w:val="Compact"/>
        <w:numPr>
          <w:numId w:val="1012"/>
          <w:ilvl w:val="0"/>
        </w:numPr>
      </w:pPr>
      <w:r>
        <w:t xml:space="preserve">broder aussi un truc avec des MSD toussa toussa</w:t>
      </w:r>
    </w:p>
    <w:p>
      <w:pPr>
        <w:pStyle w:val="Heading2"/>
      </w:pPr>
      <w:bookmarkStart w:id="72" w:name="modélisation-bio-mécanique-de-la-ségrégation-des-chromosomes"/>
      <w:bookmarkEnd w:id="72"/>
      <w:r>
        <w:t xml:space="preserve">Modélisation bio-mécanique de la ségrégation des chromosomes</w:t>
      </w:r>
    </w:p>
    <w:p>
      <w:pPr>
        <w:pStyle w:val="Heading3"/>
      </w:pPr>
      <w:bookmarkStart w:id="73" w:name="modéliser-la-dynamique-des-chromosomes-par-une-approche-force-balance"/>
      <w:bookmarkEnd w:id="73"/>
      <w:r>
        <w:t xml:space="preserve">Modéliser la dynamique des chromosomes par une approche « force balance »</w:t>
      </w:r>
    </w:p>
    <w:p>
      <w:pPr>
        <w:pStyle w:val="FirstParagraph"/>
      </w:pPr>
      <w:r>
        <w:t xml:space="preserve">(TODO: EST CE QUE JE DOIS PAS FOUTRE CETTE PARTIE EN INTRO PLUTOT ? EN MEME TEMPS JE FAIS UNE CONNECTION DIRECT AVEC LES MODIFS FAITE DURANT MA THESE SUR LE MODELE DONC JE TROUVE BIEN AUSSI DE LE LAISSER EN RESULTAT... VOUS EN PENSEZ QUOI ?)</w:t>
      </w:r>
    </w:p>
    <w:p>
      <w:pPr>
        <w:pStyle w:val="BodyText"/>
      </w:pPr>
      <w:r>
        <w:t xml:space="preserve">Tout système mécanique peut se modéliser en résolvant les équations des forces appliquées sur le système. Cette approche a été utilisé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74" w:name="types-de-forces-en-jeux"/>
      <w:bookmarkEnd w:id="74"/>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3"/>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3"/>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3"/>
          <w:ilvl w:val="0"/>
        </w:numPr>
      </w:pPr>
      <w:r>
        <w:t xml:space="preserve">une force</w:t>
      </w:r>
      <w:r>
        <w:t xml:space="preserve"> </w:t>
      </w:r>
      <w:r>
        <w:rPr>
          <w:b/>
        </w:rPr>
        <w:t xml:space="preserve">centrifuge</w:t>
      </w:r>
      <w:r>
        <w:t xml:space="preserve"> </w:t>
      </w:r>
      <w:r>
        <w:t xml:space="preserve">est subit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empèche un objet en rotation de « fuir » le centre.</w:t>
      </w:r>
    </w:p>
    <w:p>
      <w:pPr>
        <w:numPr>
          <w:numId w:val="1013"/>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moléculare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3"/>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ils en résultent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3"/>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echelles microscopiques les rend diffcilement utilisable pour l'étude des processus cellulaire et subcellulaire (TODO: C'EST VRAI CE QUE JE RACONTE LA ?).</w:t>
      </w:r>
    </w:p>
    <w:p>
      <w:pPr>
        <w:pStyle w:val="BodyText"/>
      </w:pPr>
      <w:r>
        <w:t xml:space="preserve">Afin d'étudier des système mécaniques à des echelles cellulaire et subcellulaire on utilise trois éléments mécaniques fondamentales qui sont le ressort, l'amortisseur et la masse. En effet, une protéine ou un élément subcellulaire peut être assimilé à un système mécanique composé d'atomes qui ont une masse, relié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24).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 en se déformant à vitesse constante avec une magnitude de</w:t>
      </w:r>
      <w:r>
        <w:t xml:space="preserve"> </w:t>
      </w:r>
      <m:oMath>
        <m:r>
          <m:rPr/>
          <m:t>v</m:t>
        </m:r>
        <m:r>
          <m:rPr/>
          <m:t>=</m:t>
        </m:r>
        <m:r>
          <m:rPr/>
          <m:t>F</m:t>
        </m:r>
        <m:r>
          <m:rPr/>
          <m:t>/</m:t>
        </m:r>
        <m:r>
          <m:rPr/>
          <m:t>γ</m:t>
        </m:r>
      </m:oMath>
      <w:r>
        <w:t xml:space="preserve">, où γ correspont au coefficient de viscosité (Figure 24).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24). Si la constante d'élasticité est indépendante de la force ou de l'extension, on dit que l'élastique suit la loi de Hooke.</w:t>
      </w:r>
    </w:p>
    <w:p>
      <w:pPr>
        <w:pStyle w:val="FigureWithCaption"/>
      </w:pPr>
      <w:r>
        <w:drawing>
          <wp:inline>
            <wp:extent cx="4432300" cy="2476500"/>
            <wp:effectExtent b="0" l="0" r="0" t="0"/>
            <wp:docPr descr="" id="1" name="Picture"/>
            <a:graphic>
              <a:graphicData uri="http://schemas.openxmlformats.org/drawingml/2006/picture">
                <pic:pic>
                  <pic:nvPicPr>
                    <pic:cNvPr descr="figures/results/force_types.png" id="0" name="Picture"/>
                    <pic:cNvPicPr>
                      <a:picLocks noChangeArrowheads="1" noChangeAspect="1"/>
                    </pic:cNvPicPr>
                  </pic:nvPicPr>
                  <pic:blipFill>
                    <a:blip r:embed="rId75"/>
                    <a:stretch>
                      <a:fillRect/>
                    </a:stretch>
                  </pic:blipFill>
                  <pic:spPr bwMode="auto">
                    <a:xfrm>
                      <a:off x="0" y="0"/>
                      <a:ext cx="4432300" cy="2476500"/>
                    </a:xfrm>
                    <a:prstGeom prst="rect">
                      <a:avLst/>
                    </a:prstGeom>
                    <a:noFill/>
                    <a:ln w="9525">
                      <a:noFill/>
                      <a:headEnd/>
                      <a:tailEnd/>
                    </a:ln>
                  </pic:spPr>
                </pic:pic>
              </a:graphicData>
            </a:graphic>
          </wp:inline>
        </w:drawing>
      </w:r>
    </w:p>
    <w:p>
      <w:pPr>
        <w:pStyle w:val="ImageCaption"/>
      </w:pPr>
      <w:r>
        <w:t xml:space="preserve">Figure 24: Schéma des trois éléments mécaniques fondamentales : la masse, l'amortisseur et le ressort (adapté de</w:t>
      </w:r>
      <w:r>
        <w:t xml:space="preserve"> </w:t>
      </w:r>
      <w:r>
        <w:t xml:space="preserve">Howard (</w:t>
      </w:r>
      <w:hyperlink w:anchor="ref-Howard2001">
        <w:r>
          <w:rPr>
            <w:rStyle w:val="Hyperlink"/>
          </w:rPr>
          <w:t xml:space="preserve">2001</w:t>
        </w:r>
      </w:hyperlink>
      <w:r>
        <w:t xml:space="preserve">)</w:t>
      </w:r>
      <w:r>
        <w:t xml:space="preserve">).</w:t>
      </w:r>
    </w:p>
    <w:p>
      <w:pPr>
        <w:pStyle w:val="BodyText"/>
      </w:pPr>
      <w:r>
        <w:t xml:space="preserve">Ces trois éléments mécaniques sont donc suffisant pour modéliser avec une bonne approximation un grand nombre de système mécanique complexe comme par exemple le fuseau mitotique. Pour cela on les ajoute éléments dans une géométrie puis on utilise l'équation du mouvement afin de calculer la dynamique du système.</w:t>
      </w:r>
    </w:p>
    <w:p>
      <w:pPr>
        <w:pStyle w:val="Heading4"/>
      </w:pPr>
      <w:bookmarkStart w:id="76" w:name="léquation-du-mouvement"/>
      <w:bookmarkEnd w:id="76"/>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(Figure 25).</w:t>
      </w:r>
    </w:p>
    <w:p>
      <w:pPr>
        <w:pStyle w:val="FigureWithCaption"/>
      </w:pPr>
      <w:r>
        <w:drawing>
          <wp:inline>
            <wp:extent cx="3695700" cy="3721100"/>
            <wp:effectExtent b="0" l="0" r="0" t="0"/>
            <wp:docPr descr="" id="1" name="Picture"/>
            <a:graphic>
              <a:graphicData uri="http://schemas.openxmlformats.org/drawingml/2006/picture">
                <pic:pic>
                  <pic:nvPicPr>
                    <pic:cNvPr descr="figures/results/motion_equation.png" id="0" name="Picture"/>
                    <pic:cNvPicPr>
                      <a:picLocks noChangeArrowheads="1" noChangeAspect="1"/>
                    </pic:cNvPicPr>
                  </pic:nvPicPr>
                  <pic:blipFill>
                    <a:blip r:embed="rId77"/>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25: L'équation du mouvement décrit l'évolution spatial d'un objet au cours du temps sous l'action de plusieurs forces appliquées sur lui.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sytèmes où la force inertiel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25).</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78" w:name="application-au-fuseau-mitotique"/>
      <w:bookmarkEnd w:id="78"/>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26).</w:t>
      </w:r>
    </w:p>
    <w:p>
      <w:pPr>
        <w:pStyle w:val="FigureWithCaption"/>
      </w:pPr>
      <w:r>
        <w:drawing>
          <wp:inline>
            <wp:extent cx="4927600" cy="3124200"/>
            <wp:effectExtent b="0" l="0" r="0" t="0"/>
            <wp:docPr descr="" id="1" name="Picture"/>
            <a:graphic>
              <a:graphicData uri="http://schemas.openxmlformats.org/drawingml/2006/picture">
                <pic:pic>
                  <pic:nvPicPr>
                    <pic:cNvPr descr="figures/results/spindle_model.png" id="0" name="Picture"/>
                    <pic:cNvPicPr>
                      <a:picLocks noChangeArrowheads="1" noChangeAspect="1"/>
                    </pic:cNvPicPr>
                  </pic:nvPicPr>
                  <pic:blipFill>
                    <a:blip r:embed="rId79"/>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26: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appliqués au système est nul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27).</w:t>
      </w:r>
    </w:p>
    <w:p>
      <w:pPr>
        <w:pStyle w:val="FigureWithCaption"/>
      </w:pPr>
      <w:r>
        <w:drawing>
          <wp:inline>
            <wp:extent cx="5461000" cy="2209800"/>
            <wp:effectExtent b="0" l="0" r="0" t="0"/>
            <wp:docPr descr="" id="1" name="Picture"/>
            <a:graphic>
              <a:graphicData uri="http://schemas.openxmlformats.org/drawingml/2006/picture">
                <pic:pic>
                  <pic:nvPicPr>
                    <pic:cNvPr descr="figures/results/traj_model.png" id="0" name="Picture"/>
                    <pic:cNvPicPr>
                      <a:picLocks noChangeArrowheads="1" noChangeAspect="1"/>
                    </pic:cNvPicPr>
                  </pic:nvPicPr>
                  <pic:blipFill>
                    <a:blip r:embed="rId80"/>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27: Une simulation numérique permet de résoudre l'équation du mouvement et ensuite accéder à l'évolution des positions de chaque objets au cours du temps.</w:t>
      </w:r>
    </w:p>
    <w:p>
      <w:pPr>
        <w:pStyle w:val="Heading4"/>
      </w:pPr>
      <w:bookmarkStart w:id="81" w:name="implémentation-numérique"/>
      <w:bookmarkEnd w:id="81"/>
      <w:r>
        <w:t xml:space="preserve">Implémentation numérique</w:t>
      </w:r>
    </w:p>
    <w:p>
      <w:pPr>
        <w:pStyle w:val="FirstParagraph"/>
      </w:pPr>
      <w:r>
        <w:t xml:space="preserve">L'implémentation numérique du modèle (appelé</w:t>
      </w:r>
      <w:r>
        <w:t xml:space="preserve"> </w:t>
      </w:r>
      <w:r>
        <w:rPr>
          <w:rStyle w:val="VerbatimChar"/>
        </w:rPr>
        <w:t xml:space="preserve">kt_simul</w:t>
      </w:r>
      <w:r>
        <w:t xml:space="preserve">) est disponible en libre accès sous license open-source à cette adresse :</w:t>
      </w:r>
      <w:r>
        <w:t xml:space="preserve"> </w:t>
      </w:r>
      <w:r>
        <w:rPr>
          <w:rStyle w:val="VerbatimChar"/>
        </w:rPr>
        <w:t xml:space="preserve">https://github.com/bnoi/kt_simul</w:t>
      </w:r>
      <w:r>
        <w:t xml:space="preserve">. Le code source est basé sur le language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rPr>
          <w:rStyle w:val="VerbatimChar"/>
        </w:rPr>
        <w:t xml:space="preserve">kt_simul</w:t>
      </w:r>
      <w:r>
        <w:t xml:space="preserve"> </w:t>
      </w:r>
      <w:r>
        <w:t xml:space="preserve">a été conçu de manière à être facilement utilisable. Il est ainsi possible de faire tourner une simulation de mitose en une dizaine de ligne de codes Python. Différentes options sont disponibles pour récupérer ou visualiser les données générées par la simulation. Pour un exemple d'utilisation voir la Section </w:t>
      </w:r>
      <w:r>
        <w:rPr>
          <w:b/>
        </w:rPr>
        <w:t xml:space="preserve">??</w:t>
      </w:r>
      <w:r>
        <w:t xml:space="preserve"> </w:t>
      </w:r>
      <w:r>
        <w:t xml:space="preserve">en annexe.</w:t>
      </w:r>
    </w:p>
    <w:p>
      <w:pPr>
        <w:pStyle w:val="BodyText"/>
      </w:pPr>
      <w:r>
        <w:t xml:space="preserve">Différentes fonctions ont aussi été crées afin d'éxécuter un grand nombre de simulations en parallèle et ainsi explorer un grand nombre de paramètres en un temps raisonnable.</w:t>
      </w:r>
    </w:p>
    <w:p>
      <w:pPr>
        <w:pStyle w:val="BodyText"/>
      </w:pPr>
      <w:r>
        <w:rPr>
          <w:rStyle w:val="VerbatimChar"/>
        </w:rPr>
        <w:t xml:space="preserve">kt_simul</w:t>
      </w:r>
      <w:r>
        <w:t xml:space="preserve"> </w:t>
      </w:r>
      <w:r>
        <w:t xml:space="preserve">permet de modifier le modèle facilement et a été utilisé pour tester plusieurs hypothèse afin de mieux comprendre l'alignement des chromosomes.</w:t>
      </w:r>
    </w:p>
    <w:p>
      <w:pPr>
        <w:pStyle w:val="Heading3"/>
      </w:pPr>
      <w:bookmarkStart w:id="82" w:name="un-modèle-de-congression-alternatif"/>
      <w:bookmarkEnd w:id="82"/>
      <w:r>
        <w:t xml:space="preserve">Un modèle de congression alternatif</w:t>
      </w:r>
    </w:p>
    <w:p>
      <w:pPr>
        <w:pStyle w:val="Compact"/>
        <w:numPr>
          <w:numId w:val="1014"/>
          <w:ilvl w:val="0"/>
        </w:numPr>
      </w:pPr>
      <w:r>
        <w:t xml:space="preserve">force et faiblesse du modele (simple mais fidele)</w:t>
      </w:r>
    </w:p>
    <w:p>
      <w:pPr>
        <w:pStyle w:val="Compact"/>
        <w:numPr>
          <w:numId w:val="1014"/>
          <w:ilvl w:val="0"/>
        </w:numPr>
      </w:pPr>
      <w:r>
        <w:t xml:space="preserve">pas d'oscillations</w:t>
      </w:r>
    </w:p>
    <w:p>
      <w:pPr>
        <w:pStyle w:val="Compact"/>
        <w:numPr>
          <w:numId w:val="1014"/>
          <w:ilvl w:val="0"/>
        </w:numPr>
      </w:pPr>
      <w:r>
        <w:t xml:space="preserve">resumer l'hypothese 1</w:t>
      </w:r>
    </w:p>
    <w:p>
      <w:pPr>
        <w:pStyle w:val="Compact"/>
        <w:numPr>
          <w:numId w:val="1014"/>
          <w:ilvl w:val="0"/>
        </w:numPr>
      </w:pPr>
      <w:r>
        <w:t xml:space="preserve">expliquer l'hypothese 2 in vivo</w:t>
      </w:r>
    </w:p>
    <w:p>
      <w:pPr>
        <w:pStyle w:val="Compact"/>
        <w:numPr>
          <w:numId w:val="1014"/>
          <w:ilvl w:val="0"/>
        </w:numPr>
      </w:pPr>
      <w:r>
        <w:t xml:space="preserve">detail de l'hypothese 2</w:t>
      </w:r>
    </w:p>
    <w:p>
      <w:pPr>
        <w:pStyle w:val="Heading3"/>
      </w:pPr>
      <w:bookmarkStart w:id="83" w:name="vers-un-modèle-dattachement-à-trois-états"/>
      <w:bookmarkEnd w:id="83"/>
      <w:r>
        <w:t xml:space="preserve">Vers un modèle d'attachement à trois états</w:t>
      </w:r>
    </w:p>
    <w:p>
      <w:pPr>
        <w:pStyle w:val="Compact"/>
        <w:numPr>
          <w:numId w:val="1015"/>
          <w:ilvl w:val="0"/>
        </w:numPr>
      </w:pPr>
      <w:r>
        <w:t xml:space="preserve">parler de la tentative dajouter trois etats possibles d'attachement ds l'espoir de modéliser les oscillations</w:t>
      </w:r>
    </w:p>
    <w:p>
      <w:pPr>
        <w:pStyle w:val="Heading1"/>
      </w:pPr>
      <w:bookmarkStart w:id="84" w:name="discussion"/>
      <w:bookmarkEnd w:id="84"/>
      <w:r>
        <w:t xml:space="preserve">Discussion</w:t>
      </w:r>
    </w:p>
    <w:p>
      <w:pPr>
        <w:pStyle w:val="Heading2"/>
      </w:pPr>
      <w:bookmarkStart w:id="85" w:name="le-mouvement-des-chromosomes-durant-la-mitose"/>
      <w:bookmarkEnd w:id="85"/>
      <w:r>
        <w:t xml:space="preserve">Le mouvement des chromosomes durant la mitose</w:t>
      </w:r>
    </w:p>
    <w:p>
      <w:pPr>
        <w:pStyle w:val="Heading2"/>
      </w:pPr>
      <w:bookmarkStart w:id="86" w:name="le-mécanisme-dalignement-des-chromosomes-de-lin-silico-à-lin-vivo"/>
      <w:bookmarkEnd w:id="86"/>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87" w:name="modéliser-la-mitose-jusquà-quelle-précision"/>
      <w:bookmarkEnd w:id="87"/>
      <w:r>
        <w:t xml:space="preserve">Modéliser la mitose : jusqu'à quelle précision ?</w:t>
      </w:r>
    </w:p>
    <w:p>
      <w:pPr>
        <w:pStyle w:val="Heading2"/>
      </w:pPr>
      <w:bookmarkStart w:id="88" w:name="démarche-méthode-scientifique-bio-quantitative-et-computationnelle"/>
      <w:bookmarkEnd w:id="88"/>
      <w:r>
        <w:t xml:space="preserve">démarche méthode scientifique / bio quantitative et computationnelle</w:t>
      </w:r>
    </w:p>
    <w:p>
      <w:pPr>
        <w:pStyle w:val="Heading2"/>
      </w:pPr>
      <w:bookmarkStart w:id="89" w:name="dynamique-des-chromosomes"/>
      <w:bookmarkEnd w:id="89"/>
      <w:r>
        <w:t xml:space="preserve">dynamique des chromosomes</w:t>
      </w:r>
    </w:p>
    <w:p>
      <w:pPr>
        <w:pStyle w:val="Compact"/>
        <w:numPr>
          <w:numId w:val="1016"/>
          <w:ilvl w:val="0"/>
        </w:numPr>
      </w:pPr>
      <w:r>
        <w:t xml:space="preserve">analyse stat bayesienne</w:t>
      </w:r>
    </w:p>
    <w:p>
      <w:pPr>
        <w:pStyle w:val="Compact"/>
        <w:numPr>
          <w:numId w:val="1016"/>
          <w:ilvl w:val="0"/>
        </w:numPr>
      </w:pPr>
      <w:r>
        <w:t xml:space="preserve">regulation mvt oscillation</w:t>
      </w:r>
    </w:p>
    <w:p>
      <w:pPr>
        <w:numPr>
          <w:numId w:val="1016"/>
          <w:ilvl w:val="0"/>
        </w:numPr>
      </w:pPr>
      <w:r>
        <w:t xml:space="preserve">regulation position</w:t>
      </w:r>
    </w:p>
    <w:p>
      <w:pPr>
        <w:numPr>
          <w:numId w:val="1016"/>
          <w:ilvl w:val="0"/>
        </w:numPr>
      </w:pPr>
      <w:r>
        <w:t xml:space="preserve">apport modelisation ds la dynamique</w:t>
      </w:r>
    </w:p>
    <w:p>
      <w:pPr>
        <w:pStyle w:val="Compact"/>
        <w:numPr>
          <w:numId w:val="1016"/>
          <w:ilvl w:val="0"/>
        </w:numPr>
      </w:pPr>
      <w:r>
        <w:t xml:space="preserve">ouvre passage a la 3d et multi organismes</w:t>
      </w:r>
    </w:p>
    <w:p>
      <w:pPr>
        <w:pStyle w:val="Compact"/>
        <w:numPr>
          <w:numId w:val="1016"/>
          <w:ilvl w:val="0"/>
        </w:numPr>
      </w:pPr>
      <w:r>
        <w:t xml:space="preserve">orientation</w:t>
      </w:r>
    </w:p>
    <w:p>
      <w:pPr>
        <w:numPr>
          <w:numId w:val="1016"/>
          <w:ilvl w:val="0"/>
        </w:numPr>
      </w:pPr>
      <w:r>
        <w:t xml:space="preserve">est ce que la dynamique des chromosomes est pas influencé par d'autre mechanisme en dehors du fuseau comme l'orientation</w:t>
      </w:r>
    </w:p>
    <w:p>
      <w:pPr>
        <w:pStyle w:val="FirstParagraph"/>
      </w:pPr>
    </w:p>
    <w:p>
      <w:pPr>
        <w:pStyle w:val="Heading1"/>
      </w:pPr>
      <w:bookmarkStart w:id="90" w:name="annexes"/>
      <w:bookmarkEnd w:id="90"/>
      <w:r>
        <w:t xml:space="preserve">Annexes</w:t>
      </w:r>
    </w:p>
    <w:p>
      <w:pPr>
        <w:pStyle w:val="Heading2"/>
      </w:pPr>
      <w:bookmarkStart w:id="91" w:name="exemple-dutilisation-de-kt_simul"/>
      <w:bookmarkEnd w:id="91"/>
      <w:r>
        <w:t xml:space="preserve">Exemple d'utilisation de</w:t>
      </w:r>
      <w:r>
        <w:t xml:space="preserve"> </w:t>
      </w:r>
      <w:r>
        <w:rPr>
          <w:rStyle w:val="VerbatimChar"/>
        </w:rPr>
        <w:t xml:space="preserve">kt_simul</w:t>
      </w:r>
    </w:p>
    <w:p>
      <w:pPr>
        <w:pStyle w:val="FirstParagraph"/>
      </w:pPr>
      <w:r>
        <w:t xml:space="preserve">Voico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tracjetoires et les états d'attachements peuvent être sauvegarder dans un fichier binaire pour une analyse ultèrieure (appelé ici</w:t>
      </w:r>
      <w:r>
        <w:t xml:space="preserve"> </w:t>
      </w:r>
      <w:r>
        <w:rPr>
          <w:rStyle w:val="VerbatimChar"/>
        </w:rPr>
        <w:t xml:space="preserve">simu.h5</w:t>
      </w:r>
      <w:r>
        <w:t xml:space="preserve">).</w:t>
      </w:r>
    </w:p>
    <w:p>
      <w:pPr>
        <w:pStyle w:val="BodyText"/>
      </w:pPr>
      <w:r>
        <w:t xml:space="preserve">Il est aussi possible de visualiser les trajectoires des chromosomes et des pôles ainsi que les états d'attachements associés à chaque kinétochore (Figure 28).</w:t>
      </w:r>
    </w:p>
    <w:p>
      <w:pPr>
        <w:pStyle w:val="FigureWithCaption"/>
      </w:pPr>
      <w:r>
        <w:drawing>
          <wp:inline>
            <wp:extent cx="5486400" cy="4624794"/>
            <wp:effectExtent b="0" l="0" r="0" t="0"/>
            <wp:docPr descr="" id="1" name="Picture"/>
            <a:graphic>
              <a:graphicData uri="http://schemas.openxmlformats.org/drawingml/2006/picture">
                <pic:pic>
                  <pic:nvPicPr>
                    <pic:cNvPr descr="figures/annexes/trajectories.png" id="0" name="Picture"/>
                    <pic:cNvPicPr>
                      <a:picLocks noChangeArrowheads="1" noChangeAspect="1"/>
                    </pic:cNvPicPr>
                  </pic:nvPicPr>
                  <pic:blipFill>
                    <a:blip r:embed="rId92"/>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28: Exemple de trajectoire générée par</w:t>
      </w:r>
      <w:r>
        <w:t xml:space="preserve"> </w:t>
      </w:r>
      <w:r>
        <w:rPr>
          <w:rStyle w:val="VerbatimChar"/>
        </w:rPr>
        <w:t xml:space="preserve">kt_simul</w:t>
      </w:r>
      <w:r>
        <w:t xml:space="preserve">. En plus de l'évolution de la position (</w:t>
      </w:r>
      <m:oMath>
        <m:r>
          <m:rPr/>
          <m:t>y</m:t>
        </m:r>
      </m:oMath>
      <w:r>
        <w:t xml:space="preserve">) en fonction du temps (</w:t>
      </w:r>
      <m:oMath>
        <m:r>
          <m:rPr/>
          <m:t>x</m:t>
        </m:r>
      </m:oMath>
      <w:r>
        <w:t xml:space="preserve">), on visualise aussi les états d'attachements de chaque kinétochore sur les panneaux supèrieurs et inférieurs.</w:t>
      </w:r>
    </w:p>
    <w:p>
      <w:pPr>
        <w:pStyle w:val="BodyText"/>
      </w:pPr>
      <w:r>
        <w:t xml:space="preserve">Enfin on peut aussi visualiser la simulation à l'aide d'une interface graphique dynamique (Figure 29)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 id="1" name="Picture"/>
            <a:graphic>
              <a:graphicData uri="http://schemas.openxmlformats.org/drawingml/2006/picture">
                <pic:pic>
                  <pic:nvPicPr>
                    <pic:cNvPr descr="figures/annexes/gui.png" id="0" name="Picture"/>
                    <pic:cNvPicPr>
                      <a:picLocks noChangeArrowheads="1" noChangeAspect="1"/>
                    </pic:cNvPicPr>
                  </pic:nvPicPr>
                  <pic:blipFill>
                    <a:blip r:embed="rId93"/>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29: L'interface graphique permet de suivre la dynamique en temps réel à l'aide d'un « slider » qui permet de changer le temps rapidement.</w:t>
      </w:r>
    </w:p>
    <w:p>
      <w:pPr>
        <w:pStyle w:val="BodyText"/>
      </w:pPr>
    </w:p>
    <w:p>
      <w:pPr>
        <w:pStyle w:val="Heading1"/>
      </w:pPr>
      <w:bookmarkStart w:id="94" w:name="bibliographie"/>
      <w:bookmarkEnd w:id="94"/>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730e529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ecb90a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31" Target="media/rId31.png" /><Relationship Type="http://schemas.openxmlformats.org/officeDocument/2006/relationships/image" Id="rId63" Target="media/rId63.png" /><Relationship Type="http://schemas.openxmlformats.org/officeDocument/2006/relationships/image" Id="rId29" Target="media/rId2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6" Target="media/rId3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hyperlink" Id="rId21" Target="https://github.com/hadim/phd_thesi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hadim/phd_thesi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